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26-288</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79</w:t>
      </w:r>
    </w:p>
    <w:p>
      <w:pPr>
        <w:spacing w:before="0" w:after="0" w:line="480"/>
        <w:ind w:left="120"/>
        <w:jc w:val="center"/>
      </w:pPr>
      <w:r>
        <w:rPr>
          <w:rFonts w:ascii="Times New Roman" w:hAnsi="Times New Roman"/>
          <w:b w:val="false"/>
          <w:i w:val="false"/>
          <w:color w:val="000000"/>
          <w:sz w:val="24"/>
        </w:rPr>
        <w:t>“Implementation of 2026 Iowa Acts, House File 2543”</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249A</w:t>
      </w:r>
    </w:p>
    <w:p>
      <w:pPr>
        <w:spacing w:before="0" w:after="0" w:line="480"/>
        <w:ind w:left="120"/>
        <w:jc w:val="both"/>
      </w:pPr>
      <w:r>
        <w:rPr>
          <w:rFonts w:ascii="Times New Roman" w:hAnsi="Times New Roman"/>
          <w:b w:val="false"/>
          <w:i w:val="false"/>
          <w:color w:val="000000"/>
          <w:sz w:val="24"/>
        </w:rPr>
        <w:t>State or federal law(s) implemented by the rulemaking: 2026 Iowa Acts, House File 2543</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211 532 914 792 67</w:t>
            </w:r>
            <w:r>
              <w:br/>
            </w:r>
            <w:r>
              <w:rPr>
                <w:rFonts w:ascii="Times New Roman" w:hAnsi="Times New Roman"/>
                <w:b w:val="false"/>
                <w:i w:val="false"/>
                <w:color w:val="000000"/>
                <w:sz w:val="14"/>
              </w:rPr>
              <w:t>Passcode: 94Ve93DX</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2026 Iowa Acts, House File 2543, section 3, by referencing new Iowa Code section 135G.3A, which specifies the time frames required for responses to requests for prior authorization of subacute mental health care services under the Medicaid program.</w:t>
      </w:r>
    </w:p>
    <w:p>
      <w:pPr>
        <w:spacing w:before="0" w:after="0" w:line="480"/>
        <w:ind w:left="120"/>
        <w:jc w:val="both"/>
      </w:pPr>
      <w:r>
        <w:rPr>
          <w:rFonts w:ascii="Times New Roman" w:hAnsi="Times New Roman"/>
          <w:b w:val="false"/>
          <w:i w:val="false"/>
          <w:color w:val="000000"/>
          <w:sz w:val="24"/>
        </w:rPr>
        <w:t>    The reference to Iowa Code section 135G.3A is to that section as enacted by 2026 Iowa Acts, House File 2543.</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Providers requesting approval for and Medicaid-covered individuals needing subacute mental health care services will benefit from the guidance in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It is unknown how many requests for prior authorization the Department will receive under the new time frames.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Providers requesting approval for and Medicaid-covered individuals needing subacute mental health care services will benefit from the guidance in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required by 2026 Iowa Acts, House File 2543, section 3.</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79.9(3)“c”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Decisions regarding approval or denial for items or procedures other than prescription drugs will be made according to the time frames set forth in </w:t>
      </w:r>
      <w:r>
        <w:rPr>
          <w:rFonts w:ascii="Times New Roman" w:hAnsi="Times New Roman"/>
          <w:b w:val="false"/>
          <w:i w:val="false"/>
          <w:color w:val="000000"/>
          <w:sz w:val="24"/>
        </w:rPr>
        <w:t>42 CFR 438.210(d)</w:t>
      </w:r>
      <w:r>
        <w:rPr>
          <w:rFonts w:ascii="Times New Roman" w:hAnsi="Times New Roman"/>
          <w:b w:val="false"/>
          <w:i w:val="false"/>
          <w:color w:val="000000"/>
          <w:sz w:val="24"/>
        </w:rPr>
        <w:t xml:space="preserve"> as amended to July 1, 2026</w:t>
      </w:r>
      <w:r>
        <w:rPr>
          <w:rFonts w:ascii="Times New Roman" w:hAnsi="Times New Roman"/>
          <w:b w:val="false"/>
          <w:i w:val="false"/>
          <w:color w:val="000000"/>
          <w:sz w:val="24"/>
          <w:u w:val="single"/>
        </w:rPr>
        <w:t xml:space="preserve">, or Iowa Code section </w:t>
      </w:r>
      <w:hyperlink r:id="rId5">
        <w:r>
          <w:rPr>
            <w:rStyle w:val="Hyperlink"/>
            <w:rFonts w:ascii="Times New Roman" w:hAnsi="Times New Roman"/>
            <w:b w:val="false"/>
            <w:i w:val="false"/>
            <w:color w:val="000000"/>
            <w:sz w:val="24"/>
            <w:u w:val="single"/>
          </w:rPr>
          <w:t>135G.3A</w:t>
        </w:r>
      </w:hyperlink>
      <w:r>
        <w:rPr>
          <w:rFonts w:ascii="Times New Roman" w:hAnsi="Times New Roman"/>
          <w:b w:val="false"/>
          <w:i w:val="false"/>
          <w:color w:val="000000"/>
          <w:sz w:val="24"/>
          <w:u w:val="single"/>
        </w:rPr>
        <w:t>, as applicable</w:t>
      </w:r>
      <w:r>
        <w:rPr>
          <w:rFonts w:ascii="Times New Roman" w:hAnsi="Times New Roman"/>
          <w:b w:val="false"/>
          <w:i w:val="false"/>
          <w:color w:val="000000"/>
          <w:sz w:val="24"/>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135G.3A.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